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8A" w:rsidRDefault="00940A8A" w:rsidP="00940A8A">
      <w:pPr>
        <w:spacing w:after="120"/>
        <w:ind w:right="-284"/>
        <w:rPr>
          <w:rFonts w:asciiTheme="minorHAnsi" w:hAnsiTheme="minorHAnsi" w:cstheme="minorHAnsi"/>
          <w:b/>
          <w:sz w:val="28"/>
          <w:szCs w:val="28"/>
        </w:rPr>
      </w:pPr>
    </w:p>
    <w:p w:rsidR="00940A8A" w:rsidRPr="002B5684" w:rsidRDefault="00940A8A" w:rsidP="00940A8A">
      <w:pPr>
        <w:spacing w:after="120"/>
        <w:ind w:right="-284"/>
        <w:rPr>
          <w:rFonts w:asciiTheme="minorHAnsi" w:hAnsiTheme="minorHAnsi" w:cstheme="minorHAnsi"/>
          <w:b/>
          <w:sz w:val="28"/>
          <w:szCs w:val="28"/>
        </w:rPr>
      </w:pPr>
      <w:r w:rsidRPr="002B5684">
        <w:rPr>
          <w:rFonts w:asciiTheme="minorHAnsi" w:hAnsiTheme="minorHAnsi" w:cstheme="minorHAnsi"/>
          <w:b/>
          <w:sz w:val="28"/>
          <w:szCs w:val="28"/>
        </w:rPr>
        <w:t xml:space="preserve">Vyhlášení poptávkového řízení k podání cenové nabídky </w:t>
      </w:r>
      <w:r>
        <w:rPr>
          <w:rFonts w:asciiTheme="minorHAnsi" w:hAnsiTheme="minorHAnsi" w:cstheme="minorHAnsi"/>
          <w:b/>
          <w:sz w:val="28"/>
          <w:szCs w:val="28"/>
        </w:rPr>
        <w:br/>
      </w:r>
      <w:r w:rsidRPr="002B5684">
        <w:rPr>
          <w:rFonts w:asciiTheme="minorHAnsi" w:hAnsiTheme="minorHAnsi" w:cstheme="minorHAnsi"/>
          <w:b/>
          <w:sz w:val="28"/>
          <w:szCs w:val="28"/>
        </w:rPr>
        <w:t>na veřejnou zakázku malého rozsahu</w:t>
      </w:r>
    </w:p>
    <w:p w:rsidR="00940A8A" w:rsidRPr="00BD2B5C" w:rsidRDefault="00940A8A" w:rsidP="00940A8A">
      <w:pPr>
        <w:spacing w:after="120"/>
        <w:ind w:left="2124" w:hanging="2124"/>
        <w:rPr>
          <w:rFonts w:asciiTheme="minorHAnsi" w:hAnsiTheme="minorHAnsi" w:cstheme="minorHAnsi"/>
          <w:b/>
          <w:sz w:val="22"/>
          <w:szCs w:val="22"/>
        </w:rPr>
      </w:pPr>
    </w:p>
    <w:p w:rsidR="00940A8A" w:rsidRPr="00B35781" w:rsidRDefault="00940A8A" w:rsidP="00940A8A">
      <w:pPr>
        <w:spacing w:after="120"/>
        <w:rPr>
          <w:rFonts w:asciiTheme="minorHAnsi" w:hAnsiTheme="minorHAnsi" w:cstheme="minorHAnsi"/>
          <w:b/>
        </w:rPr>
      </w:pPr>
      <w:r w:rsidRPr="002B5684">
        <w:rPr>
          <w:rFonts w:asciiTheme="minorHAnsi" w:hAnsiTheme="minorHAnsi" w:cstheme="minorHAnsi"/>
        </w:rPr>
        <w:t xml:space="preserve">Název zakázky: </w:t>
      </w:r>
      <w:r w:rsidRPr="002B5684">
        <w:rPr>
          <w:rFonts w:asciiTheme="minorHAnsi" w:hAnsiTheme="minorHAnsi" w:cstheme="minorHAnsi"/>
        </w:rPr>
        <w:br/>
      </w:r>
      <w:r w:rsidRPr="00B35781">
        <w:rPr>
          <w:rFonts w:asciiTheme="minorHAnsi" w:hAnsiTheme="minorHAnsi"/>
          <w:b/>
        </w:rPr>
        <w:t>Výměna zdroje tepla pro vytápění a ohřev TV domova mládeže, Paraple 2000, Choceň</w:t>
      </w:r>
    </w:p>
    <w:p w:rsidR="00940A8A" w:rsidRPr="00BD2B5C" w:rsidRDefault="00940A8A" w:rsidP="00940A8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Obchodní akademie a Střední odborná škola cestovního ruchu Choceň vyzývá k předložení cenové nabídky pro zakázku </w:t>
      </w:r>
      <w:r w:rsidRPr="00B35781">
        <w:rPr>
          <w:rFonts w:asciiTheme="minorHAnsi" w:hAnsiTheme="minorHAnsi" w:cstheme="minorHAnsi"/>
          <w:b/>
          <w:sz w:val="22"/>
          <w:szCs w:val="22"/>
        </w:rPr>
        <w:t xml:space="preserve">Výměna zdroje tepla pro vytápění a ohřev TV domova mládeže, Paraple 2000, Choceň </w:t>
      </w:r>
      <w:r w:rsidRPr="00BD2B5C">
        <w:rPr>
          <w:rFonts w:asciiTheme="minorHAnsi" w:hAnsiTheme="minorHAnsi" w:cstheme="minorHAnsi"/>
          <w:sz w:val="22"/>
          <w:szCs w:val="22"/>
        </w:rPr>
        <w:t xml:space="preserve">(dále jen „zakázka“). 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Rozsah veřejné zakázky splňuje požadavky zadání veřejné zakázky malého rozsahu. Při zadání veřejné zakázky malého rozsahu není zadavatel povinen použít ustanovení zákona č. 13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BD2B5C">
        <w:rPr>
          <w:rFonts w:asciiTheme="minorHAnsi" w:hAnsiTheme="minorHAnsi" w:cstheme="minorHAnsi"/>
          <w:sz w:val="22"/>
          <w:szCs w:val="22"/>
        </w:rPr>
        <w:t>/20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BD2B5C">
        <w:rPr>
          <w:rFonts w:asciiTheme="minorHAnsi" w:hAnsiTheme="minorHAnsi" w:cstheme="minorHAnsi"/>
          <w:sz w:val="22"/>
          <w:szCs w:val="22"/>
        </w:rPr>
        <w:t xml:space="preserve">6 Sb. o </w:t>
      </w:r>
      <w:r>
        <w:rPr>
          <w:rFonts w:asciiTheme="minorHAnsi" w:hAnsiTheme="minorHAnsi" w:cstheme="minorHAnsi"/>
          <w:sz w:val="22"/>
          <w:szCs w:val="22"/>
        </w:rPr>
        <w:t xml:space="preserve">zadávání </w:t>
      </w:r>
      <w:r w:rsidRPr="00BD2B5C">
        <w:rPr>
          <w:rFonts w:asciiTheme="minorHAnsi" w:hAnsiTheme="minorHAnsi" w:cstheme="minorHAnsi"/>
          <w:sz w:val="22"/>
          <w:szCs w:val="22"/>
        </w:rPr>
        <w:t>veřejných zakáz</w:t>
      </w:r>
      <w:r>
        <w:rPr>
          <w:rFonts w:asciiTheme="minorHAnsi" w:hAnsiTheme="minorHAnsi" w:cstheme="minorHAnsi"/>
          <w:sz w:val="22"/>
          <w:szCs w:val="22"/>
        </w:rPr>
        <w:t>ek</w:t>
      </w:r>
      <w:r w:rsidRPr="00BD2B5C">
        <w:rPr>
          <w:rFonts w:asciiTheme="minorHAnsi" w:hAnsiTheme="minorHAnsi" w:cstheme="minorHAnsi"/>
          <w:sz w:val="22"/>
          <w:szCs w:val="22"/>
        </w:rPr>
        <w:t>, ve znění pozdějších předpisů. Zadání veřejné zakázky proběhne v souladu s Metodickým pokynem pro zadávání veřejných zakázek malého rozsahu pro příspěvkové organizace zřízené Pardubickým krajem VN/1/2020. Zadavatel je povinen dodržovat zásady transparentnosti</w:t>
      </w:r>
      <w:r>
        <w:rPr>
          <w:rFonts w:asciiTheme="minorHAnsi" w:hAnsiTheme="minorHAnsi" w:cstheme="minorHAnsi"/>
          <w:sz w:val="22"/>
          <w:szCs w:val="22"/>
        </w:rPr>
        <w:t xml:space="preserve"> a přiměřenosti</w:t>
      </w:r>
      <w:r w:rsidRPr="00BD2B5C">
        <w:rPr>
          <w:rFonts w:asciiTheme="minorHAnsi" w:hAnsiTheme="minorHAnsi" w:cstheme="minorHAnsi"/>
          <w:sz w:val="22"/>
          <w:szCs w:val="22"/>
        </w:rPr>
        <w:t xml:space="preserve">, rovného zacházení </w:t>
      </w:r>
      <w:r>
        <w:rPr>
          <w:rFonts w:asciiTheme="minorHAnsi" w:hAnsiTheme="minorHAnsi" w:cstheme="minorHAnsi"/>
          <w:sz w:val="22"/>
          <w:szCs w:val="22"/>
        </w:rPr>
        <w:br/>
      </w:r>
      <w:r w:rsidRPr="00BD2B5C">
        <w:rPr>
          <w:rFonts w:asciiTheme="minorHAnsi" w:hAnsiTheme="minorHAnsi" w:cstheme="minorHAnsi"/>
          <w:sz w:val="22"/>
          <w:szCs w:val="22"/>
        </w:rPr>
        <w:t>a zákazu diskriminace.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I. Identifikace zadavatele:</w:t>
      </w:r>
    </w:p>
    <w:p w:rsidR="00940A8A" w:rsidRPr="00BD2B5C" w:rsidRDefault="00940A8A" w:rsidP="00940A8A">
      <w:pPr>
        <w:spacing w:after="120"/>
        <w:ind w:left="2268" w:hanging="2268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Název:</w:t>
      </w:r>
      <w:r w:rsidRPr="00BD2B5C">
        <w:rPr>
          <w:rFonts w:asciiTheme="minorHAnsi" w:hAnsiTheme="minorHAnsi" w:cstheme="minorHAnsi"/>
          <w:sz w:val="22"/>
          <w:szCs w:val="22"/>
        </w:rPr>
        <w:tab/>
        <w:t>Obchodní akademie a Střední odborná škola cestovního ruchu Choceň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Sídlo: </w:t>
      </w:r>
      <w:r w:rsidRPr="00BD2B5C">
        <w:rPr>
          <w:rFonts w:asciiTheme="minorHAnsi" w:hAnsiTheme="minorHAnsi" w:cstheme="minorHAnsi"/>
          <w:sz w:val="22"/>
          <w:szCs w:val="22"/>
        </w:rPr>
        <w:tab/>
        <w:t>T. G. Masaryka 1000, 565 01 Choceň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Právní forma:</w:t>
      </w:r>
      <w:r w:rsidRPr="00BD2B5C">
        <w:rPr>
          <w:rFonts w:asciiTheme="minorHAnsi" w:hAnsiTheme="minorHAnsi" w:cstheme="minorHAnsi"/>
          <w:sz w:val="22"/>
          <w:szCs w:val="22"/>
        </w:rPr>
        <w:tab/>
        <w:t>Příspěvková organizace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Zřizovatel:</w:t>
      </w:r>
      <w:r w:rsidRPr="00BD2B5C">
        <w:rPr>
          <w:rFonts w:asciiTheme="minorHAnsi" w:hAnsiTheme="minorHAnsi" w:cstheme="minorHAnsi"/>
          <w:sz w:val="22"/>
          <w:szCs w:val="22"/>
        </w:rPr>
        <w:tab/>
        <w:t>Pardubický kraj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IČ:</w:t>
      </w:r>
      <w:r w:rsidRPr="00BD2B5C">
        <w:rPr>
          <w:rFonts w:asciiTheme="minorHAnsi" w:hAnsiTheme="minorHAnsi" w:cstheme="minorHAnsi"/>
          <w:sz w:val="22"/>
          <w:szCs w:val="22"/>
        </w:rPr>
        <w:tab/>
        <w:t>49314661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DIČ:</w:t>
      </w:r>
      <w:r w:rsidRPr="00BD2B5C">
        <w:rPr>
          <w:rFonts w:asciiTheme="minorHAnsi" w:hAnsiTheme="minorHAnsi" w:cstheme="minorHAnsi"/>
          <w:sz w:val="22"/>
          <w:szCs w:val="22"/>
        </w:rPr>
        <w:tab/>
        <w:t>CZ493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BD2B5C">
        <w:rPr>
          <w:rFonts w:asciiTheme="minorHAnsi" w:hAnsiTheme="minorHAnsi" w:cstheme="minorHAnsi"/>
          <w:sz w:val="22"/>
          <w:szCs w:val="22"/>
        </w:rPr>
        <w:t>4661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Statutární orgán:</w:t>
      </w:r>
      <w:r w:rsidRPr="00BD2B5C">
        <w:rPr>
          <w:rFonts w:asciiTheme="minorHAnsi" w:hAnsiTheme="minorHAnsi" w:cstheme="minorHAnsi"/>
          <w:sz w:val="22"/>
          <w:szCs w:val="22"/>
        </w:rPr>
        <w:tab/>
        <w:t>Mgr. Jaroslav Studnička, ředitel školy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Bankovní spojení:</w:t>
      </w:r>
      <w:r w:rsidRPr="00BD2B5C">
        <w:rPr>
          <w:rFonts w:asciiTheme="minorHAnsi" w:hAnsiTheme="minorHAnsi" w:cstheme="minorHAnsi"/>
          <w:sz w:val="22"/>
          <w:szCs w:val="22"/>
        </w:rPr>
        <w:tab/>
        <w:t>KB Choceň, číslo účtu 27-1254690237/100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Kontakty organizace:</w:t>
      </w:r>
      <w:r w:rsidRPr="00BD2B5C">
        <w:rPr>
          <w:rFonts w:asciiTheme="minorHAnsi" w:hAnsiTheme="minorHAnsi" w:cstheme="minorHAnsi"/>
          <w:sz w:val="22"/>
          <w:szCs w:val="22"/>
        </w:rPr>
        <w:tab/>
        <w:t xml:space="preserve">sekretariát ředitele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D2B5C">
        <w:rPr>
          <w:rFonts w:asciiTheme="minorHAnsi" w:hAnsiTheme="minorHAnsi" w:cstheme="minorHAnsi"/>
          <w:sz w:val="22"/>
          <w:szCs w:val="22"/>
        </w:rPr>
        <w:t>+420 465 471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D2B5C">
        <w:rPr>
          <w:rFonts w:asciiTheme="minorHAnsi" w:hAnsiTheme="minorHAnsi" w:cstheme="minorHAnsi"/>
          <w:sz w:val="22"/>
          <w:szCs w:val="22"/>
        </w:rPr>
        <w:t>338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BD2B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BD2B5C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8" w:history="1">
        <w:r w:rsidRPr="00BD2B5C">
          <w:rPr>
            <w:rStyle w:val="Hypertextovodkaz"/>
            <w:rFonts w:asciiTheme="minorHAnsi" w:hAnsiTheme="minorHAnsi" w:cstheme="minorHAnsi"/>
            <w:color w:val="auto"/>
            <w:sz w:val="22"/>
            <w:szCs w:val="22"/>
            <w:u w:val="none"/>
          </w:rPr>
          <w:t>oachocen@oa-chocen.cz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   </w:t>
      </w:r>
    </w:p>
    <w:p w:rsidR="00940A8A" w:rsidRPr="00BD2B5C" w:rsidRDefault="00940A8A" w:rsidP="00940A8A">
      <w:pPr>
        <w:tabs>
          <w:tab w:val="left" w:pos="2268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Kontaktní osoba:</w:t>
      </w:r>
      <w:r w:rsidRPr="00BD2B5C">
        <w:rPr>
          <w:rFonts w:asciiTheme="minorHAnsi" w:hAnsiTheme="minorHAnsi" w:cstheme="minorHAnsi"/>
          <w:sz w:val="22"/>
          <w:szCs w:val="22"/>
        </w:rPr>
        <w:tab/>
        <w:t>Mgr. Jaroslav Studnička, +420 736 763 500,  studnicka@oa-chocen.cz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II. Zadávací dokumentace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Tato zadávací dokumentace je vypracována jako podklad pro podání nabídek pro veřejnou zakázku malého rozsahu na stavební práce dle ustanovení § </w:t>
      </w:r>
      <w:r>
        <w:rPr>
          <w:rFonts w:asciiTheme="minorHAnsi" w:hAnsiTheme="minorHAnsi" w:cstheme="minorHAnsi"/>
          <w:sz w:val="22"/>
          <w:szCs w:val="22"/>
        </w:rPr>
        <w:t>14</w:t>
      </w:r>
      <w:r w:rsidRPr="00BD2B5C">
        <w:rPr>
          <w:rFonts w:asciiTheme="minorHAnsi" w:hAnsiTheme="minorHAnsi" w:cstheme="minorHAnsi"/>
          <w:sz w:val="22"/>
          <w:szCs w:val="22"/>
        </w:rPr>
        <w:t xml:space="preserve"> odst. 3 zákona č. 13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BD2B5C">
        <w:rPr>
          <w:rFonts w:asciiTheme="minorHAnsi" w:hAnsiTheme="minorHAnsi" w:cstheme="minorHAnsi"/>
          <w:sz w:val="22"/>
          <w:szCs w:val="22"/>
        </w:rPr>
        <w:t>/20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BD2B5C">
        <w:rPr>
          <w:rFonts w:asciiTheme="minorHAnsi" w:hAnsiTheme="minorHAnsi" w:cstheme="minorHAnsi"/>
          <w:sz w:val="22"/>
          <w:szCs w:val="22"/>
        </w:rPr>
        <w:t xml:space="preserve">6 Sb., o </w:t>
      </w:r>
      <w:r>
        <w:rPr>
          <w:rFonts w:asciiTheme="minorHAnsi" w:hAnsiTheme="minorHAnsi" w:cstheme="minorHAnsi"/>
          <w:sz w:val="22"/>
          <w:szCs w:val="22"/>
        </w:rPr>
        <w:t xml:space="preserve">zadávání </w:t>
      </w:r>
      <w:r w:rsidRPr="00BD2B5C">
        <w:rPr>
          <w:rFonts w:asciiTheme="minorHAnsi" w:hAnsiTheme="minorHAnsi" w:cstheme="minorHAnsi"/>
          <w:sz w:val="22"/>
          <w:szCs w:val="22"/>
        </w:rPr>
        <w:t>veřejných zakáz</w:t>
      </w:r>
      <w:r>
        <w:rPr>
          <w:rFonts w:asciiTheme="minorHAnsi" w:hAnsiTheme="minorHAnsi" w:cstheme="minorHAnsi"/>
          <w:sz w:val="22"/>
          <w:szCs w:val="22"/>
        </w:rPr>
        <w:t>ek</w:t>
      </w:r>
      <w:r w:rsidRPr="00BD2B5C">
        <w:rPr>
          <w:rFonts w:asciiTheme="minorHAnsi" w:hAnsiTheme="minorHAnsi" w:cstheme="minorHAnsi"/>
          <w:sz w:val="22"/>
          <w:szCs w:val="22"/>
        </w:rPr>
        <w:t>, v platném znění.</w:t>
      </w:r>
    </w:p>
    <w:p w:rsidR="00940A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Vymezení předmětu zakázky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Předmětem zakázky je </w:t>
      </w:r>
      <w:r>
        <w:rPr>
          <w:rFonts w:asciiTheme="minorHAnsi" w:hAnsiTheme="minorHAnsi"/>
          <w:sz w:val="22"/>
        </w:rPr>
        <w:t xml:space="preserve">výměna stávajícího zdroje tepla pro vytápění a ohřev TV objektu domova mládeže Obchodní akademie a Střední odborné školy cestovního ruchu Choceň, Paraple 2000, podle projektové dokumentace vypracované autorizovaným projektantem TZB </w:t>
      </w:r>
      <w:r w:rsidR="00EA3477">
        <w:rPr>
          <w:rFonts w:asciiTheme="minorHAnsi" w:hAnsiTheme="minorHAnsi"/>
          <w:sz w:val="22"/>
        </w:rPr>
        <w:t>I</w:t>
      </w:r>
      <w:r>
        <w:rPr>
          <w:rFonts w:asciiTheme="minorHAnsi" w:hAnsiTheme="minorHAnsi"/>
          <w:sz w:val="22"/>
        </w:rPr>
        <w:t xml:space="preserve">ng. Jindřichem Horynou, </w:t>
      </w:r>
      <w:r w:rsidRPr="00BD2B5C">
        <w:rPr>
          <w:rFonts w:asciiTheme="minorHAnsi" w:hAnsiTheme="minorHAnsi" w:cstheme="minorHAnsi"/>
          <w:sz w:val="22"/>
          <w:szCs w:val="22"/>
        </w:rPr>
        <w:t>spočívající v</w:t>
      </w:r>
      <w:r>
        <w:rPr>
          <w:rFonts w:asciiTheme="minorHAnsi" w:hAnsiTheme="minorHAnsi" w:cstheme="minorHAnsi"/>
          <w:sz w:val="22"/>
          <w:szCs w:val="22"/>
        </w:rPr>
        <w:t xml:space="preserve"> demontáži stávajícího zdroje tepla, dodávce nového zařízení a jeho montáži, uvedení do provozu, zajištění potřebných revizí a proškolení obsluhy. </w:t>
      </w:r>
      <w:r w:rsidRPr="00BD2B5C">
        <w:rPr>
          <w:rFonts w:asciiTheme="minorHAnsi" w:hAnsiTheme="minorHAnsi" w:cstheme="minorHAnsi"/>
          <w:sz w:val="22"/>
          <w:szCs w:val="22"/>
        </w:rPr>
        <w:t xml:space="preserve">Likvidace </w:t>
      </w:r>
      <w:r w:rsidR="00EA3477">
        <w:rPr>
          <w:rFonts w:asciiTheme="minorHAnsi" w:hAnsiTheme="minorHAnsi" w:cstheme="minorHAnsi"/>
          <w:sz w:val="22"/>
          <w:szCs w:val="22"/>
        </w:rPr>
        <w:t xml:space="preserve">vzniklého odpadu a </w:t>
      </w:r>
      <w:r>
        <w:rPr>
          <w:rFonts w:asciiTheme="minorHAnsi" w:hAnsiTheme="minorHAnsi" w:cstheme="minorHAnsi"/>
          <w:sz w:val="22"/>
          <w:szCs w:val="22"/>
        </w:rPr>
        <w:t xml:space="preserve">demontovaného zařízení </w:t>
      </w:r>
      <w:r w:rsidRPr="00BD2B5C">
        <w:rPr>
          <w:rFonts w:asciiTheme="minorHAnsi" w:hAnsiTheme="minorHAnsi" w:cstheme="minorHAnsi"/>
          <w:sz w:val="22"/>
          <w:szCs w:val="22"/>
        </w:rPr>
        <w:t xml:space="preserve">je součástí zakázky.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AF2B8A">
        <w:rPr>
          <w:rFonts w:asciiTheme="minorHAnsi" w:hAnsiTheme="minorHAnsi" w:cstheme="minorHAnsi"/>
          <w:sz w:val="22"/>
          <w:szCs w:val="22"/>
        </w:rPr>
        <w:lastRenderedPageBreak/>
        <w:t xml:space="preserve">Podrobné informace viz přílohy – projektová dokumentace, položkový rozpočet a soupis prací (výkaz výměr).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Zadavatel požaduje poskytnutí záruky na dílo v délce 60 měsíců na stavební část a </w:t>
      </w:r>
      <w:r w:rsidR="00757901" w:rsidRPr="00AF2B8A">
        <w:rPr>
          <w:rFonts w:asciiTheme="minorHAnsi" w:hAnsiTheme="minorHAnsi" w:cstheme="minorHAnsi"/>
          <w:sz w:val="22"/>
          <w:szCs w:val="22"/>
        </w:rPr>
        <w:t xml:space="preserve">plynové kotle a 12 měsíců ostatní </w:t>
      </w:r>
      <w:r w:rsidRPr="00AF2B8A">
        <w:rPr>
          <w:rFonts w:asciiTheme="minorHAnsi" w:hAnsiTheme="minorHAnsi" w:cstheme="minorHAnsi"/>
          <w:sz w:val="22"/>
          <w:szCs w:val="22"/>
        </w:rPr>
        <w:t>dodané technologie. Záruka počíná běžet prvním dnem po předání díla zadavateli.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Doba a místo plnění zakázky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Termín plnění zakázky je stanoven do 25. srpna 2023.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Místo plnění zakázky je Obchodní akademie a Střední odborná škola cestovního ruchu Choceň, odloučené pracoviště domov mládeže, Paraple 2000, 565 01 Choceň.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Kvalifikační předpoklady</w:t>
      </w:r>
    </w:p>
    <w:p w:rsidR="00940A8A" w:rsidRPr="00AF2B8A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výpis z obchodního rejstříku ne starší 90 dnů, v případě, že je organizace zapsána v OR (*)</w:t>
      </w:r>
    </w:p>
    <w:p w:rsidR="00940A8A" w:rsidRPr="00AF2B8A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doklad opravňující k podnikání (např. živnostenský list) (*)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čestné prohlášení uchazeče, že:</w:t>
      </w:r>
    </w:p>
    <w:p w:rsidR="00940A8A" w:rsidRPr="00BD2B5C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nebyl pravomocně odsouzen pro trestný čin, jehož skutková podstata souvisí s předmětem podnikání</w:t>
      </w:r>
    </w:p>
    <w:p w:rsidR="00940A8A" w:rsidRPr="00BD2B5C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na majetek firmy není vyhlášen konkurz, není soudem zahájeno konkurzní nebo vyrovnávací řízení, nebyl zamítnut návrh na prohlášení konkurzu pro nedostatek majetku úpadce a není jako právnická osoba v likvidaci; firma není v současné době v jiných smluvních vztazích dlužníkem vůči zadavateli zakázky</w:t>
      </w:r>
    </w:p>
    <w:p w:rsidR="00940A8A" w:rsidRPr="00BD2B5C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nemá v evidenci daní zachyceny daňové nedoplatky a nemá závazky vůči nositelům sociálního zabezpečení, všeobecného zdravotního pojištění a nemá splatný nedoplatek na pojistném a na penále na sociální zabezpečení a na příspěvku na státní politiku zaměstnanosti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Nepředložení kteréhokoli z uvedených požadovaných dokladů označených (*) v originále či v úředně ověřené kopii, nebo předložení neplatného dokladu je považováno za důvod k vyloučení uchazeče ze soutěže.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Technické předpoklady</w:t>
      </w:r>
    </w:p>
    <w:p w:rsidR="00940A8A" w:rsidRPr="00BD2B5C" w:rsidRDefault="00940A8A" w:rsidP="00940A8A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seznam fyzických či právnických osob, kterým byla v posledních 5 letech plněna zakázka podobného rozsahu, která bude doložena prohlášením objednatele o řádném plnění – alespoň 3 reference</w:t>
      </w:r>
    </w:p>
    <w:p w:rsidR="00940A8A" w:rsidRPr="00BD2B5C" w:rsidRDefault="00940A8A" w:rsidP="00940A8A">
      <w:pPr>
        <w:numPr>
          <w:ilvl w:val="0"/>
          <w:numId w:val="3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prohlášení osoby oprávněné k jednání za firmu, že je technicky a personálně připravena na plnění zakázky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40A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Zpracování nabídkové ceny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Podkladem pro strukturované zpracování nabídkové ceny je zadávací dokumentace a soupis prací, který je přílohou tohoto dokumentu.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Cena musí být uvedena:</w:t>
      </w:r>
      <w:r w:rsidRPr="00AF2B8A">
        <w:rPr>
          <w:rFonts w:asciiTheme="minorHAnsi" w:hAnsiTheme="minorHAnsi" w:cstheme="minorHAnsi"/>
          <w:sz w:val="22"/>
          <w:szCs w:val="22"/>
        </w:rPr>
        <w:tab/>
        <w:t>bez DPH</w:t>
      </w:r>
      <w:r w:rsidRPr="00AF2B8A">
        <w:rPr>
          <w:rFonts w:asciiTheme="minorHAnsi" w:hAnsiTheme="minorHAnsi" w:cstheme="minorHAnsi"/>
          <w:sz w:val="22"/>
          <w:szCs w:val="22"/>
        </w:rPr>
        <w:tab/>
      </w:r>
      <w:r w:rsidRPr="00AF2B8A">
        <w:rPr>
          <w:rFonts w:asciiTheme="minorHAnsi" w:hAnsiTheme="minorHAnsi" w:cstheme="minorHAnsi"/>
          <w:sz w:val="22"/>
          <w:szCs w:val="22"/>
        </w:rPr>
        <w:tab/>
        <w:t>zvlášť DPH</w:t>
      </w:r>
      <w:r w:rsidRPr="00AF2B8A">
        <w:rPr>
          <w:rFonts w:asciiTheme="minorHAnsi" w:hAnsiTheme="minorHAnsi" w:cstheme="minorHAnsi"/>
          <w:sz w:val="22"/>
          <w:szCs w:val="22"/>
        </w:rPr>
        <w:tab/>
      </w:r>
      <w:r w:rsidRPr="00AF2B8A">
        <w:rPr>
          <w:rFonts w:asciiTheme="minorHAnsi" w:hAnsiTheme="minorHAnsi" w:cstheme="minorHAnsi"/>
          <w:sz w:val="22"/>
          <w:szCs w:val="22"/>
        </w:rPr>
        <w:tab/>
        <w:t>včetně DPH.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Nabídková cena je uvedena jako nejvýše přípustná po započtení všech nákladů spojených s dohotovením předmětu zakázky, kterou nelze překročit.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Platba bude provedena na základě řádně provedené zakázky a vystavené faktury. Splatnost daňového dokladu – faktury bude 30 dnů ode dne převzetí zadavatelem. Platba bude provedena bezhotovostním převodem.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lastRenderedPageBreak/>
        <w:t>Způsob hodnocení nabídek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Nabídky budou hodnoceny podle nabídkové ceny. Při rovnosti cenových nabídek bude dána přednost té nabídce, která nabídne kratší dobu plnění při dodržení kvality stavebních prací.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Pravidla podání nabídek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Termín vyhlášení zakázky 31. května 2023.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Lhůta pro podání nabídek končí dnem 12. června 2023, příjem nabídek bude ukončen </w:t>
      </w:r>
      <w:proofErr w:type="gramStart"/>
      <w:r w:rsidRPr="00AF2B8A">
        <w:rPr>
          <w:rFonts w:asciiTheme="minorHAnsi" w:hAnsiTheme="minorHAnsi" w:cstheme="minorHAnsi"/>
          <w:sz w:val="22"/>
          <w:szCs w:val="22"/>
        </w:rPr>
        <w:t>ve</w:t>
      </w:r>
      <w:proofErr w:type="gramEnd"/>
      <w:r w:rsidRPr="00AF2B8A">
        <w:rPr>
          <w:rFonts w:asciiTheme="minorHAnsi" w:hAnsiTheme="minorHAnsi" w:cstheme="minorHAnsi"/>
          <w:sz w:val="22"/>
          <w:szCs w:val="22"/>
        </w:rPr>
        <w:t> 12:00</w:t>
      </w:r>
      <w:r w:rsidRPr="00AF2B8A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  <w:r w:rsidRPr="00AF2B8A">
        <w:rPr>
          <w:rFonts w:asciiTheme="minorHAnsi" w:hAnsiTheme="minorHAnsi" w:cstheme="minorHAnsi"/>
          <w:sz w:val="22"/>
          <w:szCs w:val="22"/>
        </w:rPr>
        <w:t xml:space="preserve">hodin.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Nabídky je možné předat osobně nebo zaslat doporučeně poštou. Nabídky, které nebudou doručeny ve stanovené lhůtě, nebudou přijaty do zpracování.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Nabídka musí být vyhotovena písemnou formou v českém jazyce v jednom výtisku a doručena v uzavřené obálce, na uzavření opatřena razítkem a podpisem osob oprávněných jednat jménem uchazeče. Obálka musí být zřetelně označena </w:t>
      </w:r>
      <w:r w:rsidRPr="00AF2B8A">
        <w:rPr>
          <w:rFonts w:asciiTheme="minorHAnsi" w:hAnsiTheme="minorHAnsi" w:cstheme="minorHAnsi"/>
          <w:b/>
          <w:i/>
          <w:sz w:val="22"/>
          <w:szCs w:val="22"/>
        </w:rPr>
        <w:t>„Výměna zdroje tepla pro vytápění a ohřev TV domova mládeže, Paraple 2000, Choceň  – NEOTVÍRAT“</w:t>
      </w:r>
      <w:r w:rsidRPr="00AF2B8A">
        <w:rPr>
          <w:rFonts w:asciiTheme="minorHAnsi" w:hAnsiTheme="minorHAnsi" w:cstheme="minorHAnsi"/>
          <w:b/>
          <w:sz w:val="22"/>
          <w:szCs w:val="22"/>
        </w:rPr>
        <w:t>.</w:t>
      </w:r>
      <w:r w:rsidRPr="00AF2B8A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Jednotlivé listy v nabídce budou označeny pořadovým číslem listu a na prvním listě bude uveden údaj </w:t>
      </w:r>
      <w:r w:rsidRPr="00AF2B8A">
        <w:rPr>
          <w:rFonts w:asciiTheme="minorHAnsi" w:hAnsiTheme="minorHAnsi" w:cstheme="minorHAnsi"/>
          <w:sz w:val="22"/>
          <w:szCs w:val="22"/>
        </w:rPr>
        <w:br/>
        <w:t>o celkovém počtu listů v nabídce.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Místo podání nabídek</w:t>
      </w:r>
      <w:r w:rsidRPr="00AF2B8A">
        <w:rPr>
          <w:rFonts w:asciiTheme="minorHAnsi" w:hAnsiTheme="minorHAnsi" w:cstheme="minorHAnsi"/>
          <w:sz w:val="22"/>
          <w:szCs w:val="22"/>
        </w:rPr>
        <w:t xml:space="preserve"> je adresa sídla zadavatele Obchodní akademie a Střední odborná škola cestovního ruchu Choceň, T. G. Masaryka 1000, 565 01 Choceň. Při osobním doručení nabídky je pro její převzetí určena kancelář – sekretariát ředitele školy. Přejímající zaměstnanec zadavatele vyznačí na obálku datum a hodinu převzetí a opatří ji svým podpisem. Tytéž údaje potvrdí předávajícímu na doklad </w:t>
      </w:r>
      <w:r w:rsidRPr="00AF2B8A">
        <w:rPr>
          <w:rFonts w:asciiTheme="minorHAnsi" w:hAnsiTheme="minorHAnsi" w:cstheme="minorHAnsi"/>
          <w:i/>
          <w:sz w:val="22"/>
          <w:szCs w:val="22"/>
        </w:rPr>
        <w:t>„Potvrzení o převzetí cenové nabídky „Výměna zdroje tepla pro vytápění a ohřev TV domova mládeže, Paraple 2000, Choceň“.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Podáním nabídky uchazeč potvrzuje, že je oprávněn zadavateli sdělit všechny informace v ní obsažené </w:t>
      </w:r>
      <w:r w:rsidRPr="00AF2B8A">
        <w:rPr>
          <w:rFonts w:asciiTheme="minorHAnsi" w:hAnsiTheme="minorHAnsi" w:cstheme="minorHAnsi"/>
          <w:sz w:val="22"/>
          <w:szCs w:val="22"/>
        </w:rPr>
        <w:br/>
        <w:t>a odpovídá za všechny důsledky nepravdivosti takového tvrzení a je touto nabídkou vázán.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Komise pro projednávání zakázek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Termín jednání komise pro otvírání obálek a vyhodnocení nabídek je stanoven na 12. června 2023 na 14:00 hod. v ředitelně zadavatele. Otvírání nabídek se mohou zúčastnit i předkladatelé na základě své žádosti. Vyhodnocení nabídek bude přítomna pouze komise.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O výsledku výběrového řízení budou uchazeči vyrozuměni písemně nejpozději 14. června 2023.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Další podmínky pro uchazeče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Účastníkům výběrového řízení nevzniká žádný nárok na úhradu nákladů spojených s účastí ve výběrovém řízení. Uchazeč předkládá nabídku bezplatně a z předání nabídky nelze uplatňovat vůči zadavateli žádné nároky.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Práva zadavatele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Zadavatel předložené nabídky nevrací a ponechává si je jako doklad o průběhu výběrového řízení. Zadavatel má právo zrušit výběrové řízení nebo veškeré přijaté nabídky odmítnout bez uvedení důvodu.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Součástí nabídky bude i návrh Smlouvy o dílo. Zadavatel má právo smlouvu neuzavřít.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lastRenderedPageBreak/>
        <w:t>III.  Projektová dokumentace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Stavební projektová dokumentace se poskytuje pouze za účelem zpracování nabídky pro záměr zadání zakázky, uchazeč není oprávněn ji použít k jakýmkoliv jiným účelům.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Uchazeči jsou povinní zachovávat mlčenlivost o obsahu této dokumentace. Nejsou oprávněni ji dále kopírovat ani ji předat třetím osobám.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Podmínky uvedené v zadávací dokumentaci jakož i v projektové dokumentaci související s výběrovým řízením jsou pro uchazeče závazné. Nepřipouští se provedení odlišné od projektové dokumentace.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Uchazečům bude dne </w:t>
      </w:r>
      <w:r w:rsidR="00E76D0C" w:rsidRPr="00AF2B8A">
        <w:rPr>
          <w:rFonts w:asciiTheme="minorHAnsi" w:hAnsiTheme="minorHAnsi" w:cstheme="minorHAnsi"/>
          <w:sz w:val="22"/>
          <w:szCs w:val="22"/>
        </w:rPr>
        <w:t>5</w:t>
      </w:r>
      <w:r w:rsidRPr="00AF2B8A">
        <w:rPr>
          <w:rFonts w:asciiTheme="minorHAnsi" w:hAnsiTheme="minorHAnsi" w:cstheme="minorHAnsi"/>
          <w:sz w:val="22"/>
          <w:szCs w:val="22"/>
        </w:rPr>
        <w:t xml:space="preserve">. června 2023 poskytnut zadavatelem čas na prohlídku prostor, kde má být stavba provedena. Tento čas si uchazeč dohodne telefonicky se správcem objektu stavby panem </w:t>
      </w:r>
      <w:proofErr w:type="spellStart"/>
      <w:r w:rsidRPr="00AF2B8A">
        <w:rPr>
          <w:rFonts w:asciiTheme="minorHAnsi" w:hAnsiTheme="minorHAnsi" w:cstheme="minorHAnsi"/>
          <w:sz w:val="22"/>
          <w:szCs w:val="22"/>
        </w:rPr>
        <w:t>Eneou</w:t>
      </w:r>
      <w:proofErr w:type="spellEnd"/>
      <w:r w:rsidRPr="00AF2B8A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AF2B8A">
        <w:rPr>
          <w:rFonts w:asciiTheme="minorHAnsi" w:hAnsiTheme="minorHAnsi" w:cstheme="minorHAnsi"/>
          <w:sz w:val="22"/>
          <w:szCs w:val="22"/>
        </w:rPr>
        <w:t>Rafiilem</w:t>
      </w:r>
      <w:proofErr w:type="spellEnd"/>
      <w:r w:rsidRPr="00AF2B8A">
        <w:rPr>
          <w:rFonts w:asciiTheme="minorHAnsi" w:hAnsiTheme="minorHAnsi" w:cstheme="minorHAnsi"/>
          <w:sz w:val="22"/>
          <w:szCs w:val="22"/>
        </w:rPr>
        <w:t xml:space="preserve">, tel. 608 279 186. 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 xml:space="preserve">Lhůta pro podání případných upřesňujících dotazům od uchazečů je od vyhlášení do </w:t>
      </w:r>
      <w:r w:rsidR="00E76D0C" w:rsidRPr="00AF2B8A">
        <w:rPr>
          <w:rFonts w:asciiTheme="minorHAnsi" w:hAnsiTheme="minorHAnsi" w:cstheme="minorHAnsi"/>
          <w:sz w:val="22"/>
          <w:szCs w:val="22"/>
        </w:rPr>
        <w:t>8</w:t>
      </w:r>
      <w:r w:rsidRPr="00AF2B8A">
        <w:rPr>
          <w:rFonts w:asciiTheme="minorHAnsi" w:hAnsiTheme="minorHAnsi" w:cstheme="minorHAnsi"/>
          <w:sz w:val="22"/>
          <w:szCs w:val="22"/>
        </w:rPr>
        <w:t xml:space="preserve">. června 2023,  do 15:00 hodin. Dotazy budou podány výhradně písemnou formou prostřednictvím e-mailu na adresu </w:t>
      </w:r>
      <w:hyperlink r:id="rId9" w:history="1">
        <w:r w:rsidRPr="00AF2B8A">
          <w:rPr>
            <w:rStyle w:val="Hypertextovodkaz"/>
            <w:rFonts w:asciiTheme="minorHAnsi" w:hAnsiTheme="minorHAnsi" w:cstheme="minorHAnsi"/>
            <w:sz w:val="22"/>
            <w:szCs w:val="22"/>
          </w:rPr>
          <w:t>vostal@oa-chocen.cz</w:t>
        </w:r>
      </w:hyperlink>
      <w:r w:rsidRPr="00AF2B8A">
        <w:rPr>
          <w:rFonts w:asciiTheme="minorHAnsi" w:hAnsiTheme="minorHAnsi" w:cstheme="minorHAnsi"/>
          <w:sz w:val="22"/>
          <w:szCs w:val="22"/>
        </w:rPr>
        <w:t>. V dotazu musí být specifikována osoba tazatele, uvedena firma, IČ, sídlo firmy. Na všechny dotazy bude odpovězeno všem uchazečům, kteří obdrželi zadávací dokumentaci, současně prostřednictvím e-mailu, a to ve lhůtě 24</w:t>
      </w:r>
      <w:r w:rsidRPr="00AF2B8A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  <w:r w:rsidRPr="00AF2B8A">
        <w:rPr>
          <w:rFonts w:asciiTheme="minorHAnsi" w:hAnsiTheme="minorHAnsi" w:cstheme="minorHAnsi"/>
          <w:sz w:val="22"/>
          <w:szCs w:val="22"/>
        </w:rPr>
        <w:t xml:space="preserve">hodin po ukončení lhůty pro podání dotazů. 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AF2B8A" w:rsidRDefault="00940A8A" w:rsidP="00940A8A">
      <w:pPr>
        <w:spacing w:after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IV.  Obsah nabídky</w:t>
      </w:r>
    </w:p>
    <w:p w:rsidR="00940A8A" w:rsidRPr="00AF2B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b/>
          <w:sz w:val="22"/>
          <w:szCs w:val="22"/>
        </w:rPr>
        <w:t>A.  Identifikace předkladatele</w:t>
      </w:r>
    </w:p>
    <w:p w:rsidR="00940A8A" w:rsidRPr="00AF2B8A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Název organizace</w:t>
      </w:r>
    </w:p>
    <w:p w:rsidR="00940A8A" w:rsidRPr="00AF2B8A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Zápis v OR nebo živnostenské oprávnění</w:t>
      </w:r>
    </w:p>
    <w:p w:rsidR="00940A8A" w:rsidRPr="00AF2B8A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Sídlo</w:t>
      </w:r>
    </w:p>
    <w:p w:rsidR="00940A8A" w:rsidRPr="00AF2B8A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B8A">
        <w:rPr>
          <w:rFonts w:asciiTheme="minorHAnsi" w:hAnsiTheme="minorHAnsi" w:cstheme="minorHAnsi"/>
          <w:sz w:val="22"/>
          <w:szCs w:val="22"/>
        </w:rPr>
        <w:t>Adresa provozovny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IČ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DIČ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Statutární zástupce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Bankovní spojení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Telefon / mobil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E-mail</w:t>
      </w:r>
    </w:p>
    <w:p w:rsidR="00940A8A" w:rsidRPr="00BD2B5C" w:rsidRDefault="00940A8A" w:rsidP="006A14ED">
      <w:pPr>
        <w:numPr>
          <w:ilvl w:val="0"/>
          <w:numId w:val="4"/>
        </w:numPr>
        <w:spacing w:after="12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Kontaktní osoba - jméno a příjmení, telefon/mobil, e-mail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B.  Nabídka</w:t>
      </w:r>
    </w:p>
    <w:p w:rsidR="00940A8A" w:rsidRPr="00BD2B5C" w:rsidRDefault="00940A8A" w:rsidP="006A14ED">
      <w:pPr>
        <w:numPr>
          <w:ilvl w:val="0"/>
          <w:numId w:val="5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Dodací podmínky</w:t>
      </w:r>
    </w:p>
    <w:p w:rsidR="006A14ED" w:rsidRPr="006A14ED" w:rsidRDefault="00940A8A" w:rsidP="006A14ED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26D99">
        <w:rPr>
          <w:rFonts w:asciiTheme="minorHAnsi" w:hAnsiTheme="minorHAnsi" w:cstheme="minorHAnsi"/>
          <w:sz w:val="22"/>
          <w:szCs w:val="22"/>
        </w:rPr>
        <w:t>Cena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26D99">
        <w:rPr>
          <w:rFonts w:asciiTheme="minorHAnsi" w:hAnsiTheme="minorHAnsi" w:cstheme="minorHAnsi"/>
          <w:sz w:val="22"/>
          <w:szCs w:val="22"/>
        </w:rPr>
        <w:t>bez DPH</w:t>
      </w:r>
    </w:p>
    <w:p w:rsidR="006A14ED" w:rsidRPr="006A14ED" w:rsidRDefault="00940A8A" w:rsidP="006A14ED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zvlášť </w:t>
      </w:r>
      <w:r w:rsidRPr="00726D99">
        <w:rPr>
          <w:rFonts w:asciiTheme="minorHAnsi" w:hAnsiTheme="minorHAnsi" w:cstheme="minorHAnsi"/>
          <w:sz w:val="22"/>
          <w:szCs w:val="22"/>
        </w:rPr>
        <w:t>DPH</w:t>
      </w:r>
    </w:p>
    <w:p w:rsidR="00940A8A" w:rsidRPr="00726D99" w:rsidRDefault="00940A8A" w:rsidP="006A14ED">
      <w:pPr>
        <w:numPr>
          <w:ilvl w:val="0"/>
          <w:numId w:val="5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cena </w:t>
      </w:r>
      <w:r w:rsidRPr="00726D99">
        <w:rPr>
          <w:rFonts w:asciiTheme="minorHAnsi" w:hAnsiTheme="minorHAnsi" w:cstheme="minorHAnsi"/>
          <w:sz w:val="22"/>
          <w:szCs w:val="22"/>
        </w:rPr>
        <w:t>včetně DPH</w:t>
      </w:r>
      <w:r w:rsidRPr="00726D99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940A8A" w:rsidRPr="00BD2B5C" w:rsidRDefault="00940A8A" w:rsidP="00940A8A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C.  Přílohy</w:t>
      </w:r>
    </w:p>
    <w:p w:rsidR="00940A8A" w:rsidRPr="00BD2B5C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Ověřená kopie výpisu z OR ne starší 90 dnů (pokud je firma zapsána v OR)</w:t>
      </w:r>
    </w:p>
    <w:p w:rsidR="00940A8A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Ověřená kopie dokladu prokazujícího oprávněnost k podnikání a podání nabídky v daném předmětu zakázky (živnostenský list, apod.)</w:t>
      </w:r>
    </w:p>
    <w:p w:rsidR="006A14ED" w:rsidRPr="00BD2B5C" w:rsidRDefault="006A14ED" w:rsidP="006A14ED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Čestné prohlášení statutárních zástupců, nebo osoby oprávněné k takovému prohlášení, že firma:</w:t>
      </w:r>
    </w:p>
    <w:p w:rsidR="00940A8A" w:rsidRPr="00BD2B5C" w:rsidRDefault="00940A8A" w:rsidP="006A14ED">
      <w:pPr>
        <w:numPr>
          <w:ilvl w:val="1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v konkurzu</w:t>
      </w:r>
    </w:p>
    <w:p w:rsidR="00940A8A" w:rsidRPr="00BD2B5C" w:rsidRDefault="00940A8A" w:rsidP="006A14ED">
      <w:pPr>
        <w:numPr>
          <w:ilvl w:val="1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nemá žádné nedoplatky</w:t>
      </w:r>
    </w:p>
    <w:p w:rsidR="00940A8A" w:rsidRPr="00BD2B5C" w:rsidRDefault="00940A8A" w:rsidP="006A14ED">
      <w:pPr>
        <w:numPr>
          <w:ilvl w:val="1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stíhána pro trestný čin</w:t>
      </w:r>
    </w:p>
    <w:p w:rsidR="00940A8A" w:rsidRDefault="00940A8A" w:rsidP="006A14ED">
      <w:pPr>
        <w:numPr>
          <w:ilvl w:val="1"/>
          <w:numId w:val="6"/>
        </w:numPr>
        <w:spacing w:after="24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vedena v rejstříku osob se zákazem plnění veřejných zakázek (</w:t>
      </w:r>
      <w:r w:rsidR="00EB5CA5">
        <w:rPr>
          <w:rFonts w:asciiTheme="minorHAnsi" w:hAnsiTheme="minorHAnsi" w:cstheme="minorHAnsi"/>
          <w:sz w:val="22"/>
          <w:szCs w:val="22"/>
        </w:rPr>
        <w:t xml:space="preserve">vzor je v </w:t>
      </w:r>
      <w:r w:rsidRPr="00BD2B5C">
        <w:rPr>
          <w:rFonts w:asciiTheme="minorHAnsi" w:hAnsiTheme="minorHAnsi" w:cstheme="minorHAnsi"/>
          <w:sz w:val="22"/>
          <w:szCs w:val="22"/>
        </w:rPr>
        <w:t>přílo</w:t>
      </w:r>
      <w:r w:rsidR="00EB5CA5">
        <w:rPr>
          <w:rFonts w:asciiTheme="minorHAnsi" w:hAnsiTheme="minorHAnsi" w:cstheme="minorHAnsi"/>
          <w:sz w:val="22"/>
          <w:szCs w:val="22"/>
        </w:rPr>
        <w:t>ze</w:t>
      </w:r>
      <w:r w:rsidRPr="00BD2B5C">
        <w:rPr>
          <w:rFonts w:asciiTheme="minorHAnsi" w:hAnsiTheme="minorHAnsi" w:cstheme="minorHAnsi"/>
          <w:sz w:val="22"/>
          <w:szCs w:val="22"/>
        </w:rPr>
        <w:t>)</w:t>
      </w:r>
    </w:p>
    <w:p w:rsidR="00940A8A" w:rsidRPr="00BD2B5C" w:rsidRDefault="00940A8A" w:rsidP="006A14ED">
      <w:pPr>
        <w:numPr>
          <w:ilvl w:val="0"/>
          <w:numId w:val="6"/>
        </w:numPr>
        <w:spacing w:before="120"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Reference (alespoň 3)</w:t>
      </w:r>
    </w:p>
    <w:p w:rsidR="00940A8A" w:rsidRPr="00BD2B5C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Prohlášení o technické a personální připravenosti k plnění zakázky</w:t>
      </w:r>
    </w:p>
    <w:p w:rsidR="00940A8A" w:rsidRPr="00BD2B5C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Návrh Smlouvy o dílo</w:t>
      </w:r>
      <w:r w:rsidR="00EA3477">
        <w:rPr>
          <w:rFonts w:asciiTheme="minorHAnsi" w:hAnsiTheme="minorHAnsi" w:cstheme="minorHAnsi"/>
          <w:sz w:val="22"/>
          <w:szCs w:val="22"/>
        </w:rPr>
        <w:t xml:space="preserve"> (podepsaný uchazečem)</w:t>
      </w:r>
    </w:p>
    <w:p w:rsidR="00940A8A" w:rsidRPr="00BD2B5C" w:rsidRDefault="00940A8A" w:rsidP="006A14ED">
      <w:pPr>
        <w:numPr>
          <w:ilvl w:val="0"/>
          <w:numId w:val="6"/>
        </w:numPr>
        <w:spacing w:after="120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Případně další přílohy dle uvážení předkladatele</w:t>
      </w:r>
    </w:p>
    <w:p w:rsidR="00940A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6A14ED" w:rsidRPr="00BD2B5C" w:rsidRDefault="006A14ED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V Chocni dne </w:t>
      </w:r>
      <w:r>
        <w:rPr>
          <w:rFonts w:asciiTheme="minorHAnsi" w:hAnsiTheme="minorHAnsi" w:cstheme="minorHAnsi"/>
          <w:sz w:val="22"/>
          <w:szCs w:val="22"/>
        </w:rPr>
        <w:t>31</w:t>
      </w:r>
      <w:r w:rsidRPr="00BD2B5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květ</w:t>
      </w:r>
      <w:r w:rsidRPr="00BD2B5C">
        <w:rPr>
          <w:rFonts w:asciiTheme="minorHAnsi" w:hAnsiTheme="minorHAnsi" w:cstheme="minorHAnsi"/>
          <w:sz w:val="22"/>
          <w:szCs w:val="22"/>
        </w:rPr>
        <w:t>na 20</w:t>
      </w:r>
      <w:r>
        <w:rPr>
          <w:rFonts w:asciiTheme="minorHAnsi" w:hAnsiTheme="minorHAnsi" w:cstheme="minorHAnsi"/>
          <w:sz w:val="22"/>
          <w:szCs w:val="22"/>
        </w:rPr>
        <w:t>23</w:t>
      </w:r>
    </w:p>
    <w:p w:rsidR="00940A8A" w:rsidRPr="00BD2B5C" w:rsidRDefault="00940A8A" w:rsidP="00940A8A">
      <w:pPr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  <w:r w:rsidRPr="00BD2B5C">
        <w:rPr>
          <w:rFonts w:asciiTheme="minorHAnsi" w:hAnsiTheme="minorHAnsi" w:cstheme="minorHAnsi"/>
          <w:sz w:val="22"/>
          <w:szCs w:val="22"/>
        </w:rPr>
        <w:tab/>
      </w:r>
    </w:p>
    <w:p w:rsidR="00940A8A" w:rsidRPr="00BD2B5C" w:rsidRDefault="00940A8A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Default="00940A8A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A14ED" w:rsidRDefault="006A14ED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A14ED" w:rsidRPr="00BD2B5C" w:rsidRDefault="006A14ED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Default="00940A8A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Mgr. Jaroslav Studnička</w:t>
      </w:r>
      <w:r w:rsidRPr="00BD2B5C">
        <w:rPr>
          <w:rFonts w:asciiTheme="minorHAnsi" w:hAnsiTheme="minorHAnsi" w:cstheme="minorHAnsi"/>
          <w:sz w:val="22"/>
          <w:szCs w:val="22"/>
        </w:rPr>
        <w:br/>
        <w:t>ředitel školy</w:t>
      </w:r>
    </w:p>
    <w:p w:rsidR="00EA3477" w:rsidRDefault="00EA3477" w:rsidP="00940A8A">
      <w:pPr>
        <w:rPr>
          <w:rFonts w:asciiTheme="minorHAnsi" w:hAnsiTheme="minorHAnsi" w:cstheme="minorHAnsi"/>
          <w:sz w:val="22"/>
          <w:szCs w:val="22"/>
        </w:rPr>
      </w:pPr>
    </w:p>
    <w:p w:rsidR="00EA3477" w:rsidRDefault="00EA3477" w:rsidP="00940A8A">
      <w:pPr>
        <w:rPr>
          <w:rFonts w:asciiTheme="minorHAnsi" w:hAnsiTheme="minorHAnsi" w:cstheme="minorHAnsi"/>
          <w:sz w:val="22"/>
          <w:szCs w:val="22"/>
        </w:rPr>
      </w:pPr>
    </w:p>
    <w:p w:rsidR="00EA3477" w:rsidRDefault="00EA3477" w:rsidP="00940A8A">
      <w:pPr>
        <w:rPr>
          <w:rFonts w:asciiTheme="minorHAnsi" w:hAnsiTheme="minorHAnsi" w:cstheme="minorHAnsi"/>
          <w:sz w:val="22"/>
          <w:szCs w:val="22"/>
        </w:rPr>
      </w:pPr>
    </w:p>
    <w:p w:rsidR="00940A8A" w:rsidRDefault="00940A8A" w:rsidP="00940A8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lastRenderedPageBreak/>
        <w:t>Příloha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2B5C">
        <w:rPr>
          <w:rFonts w:asciiTheme="minorHAnsi" w:hAnsiTheme="minorHAnsi" w:cstheme="minorHAnsi"/>
          <w:b/>
          <w:sz w:val="22"/>
          <w:szCs w:val="22"/>
        </w:rPr>
        <w:t>ČESTNÉ PROHLÁŠENÍ</w:t>
      </w:r>
    </w:p>
    <w:p w:rsidR="00940A8A" w:rsidRPr="00BD2B5C" w:rsidRDefault="00940A8A" w:rsidP="00940A8A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Prohlašuji, že právnická osoba / fyzická osoba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Obchodní jméno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BD2B5C">
        <w:rPr>
          <w:rFonts w:asciiTheme="minorHAnsi" w:hAnsiTheme="minorHAnsi" w:cstheme="minorHAnsi"/>
          <w:sz w:val="22"/>
          <w:szCs w:val="22"/>
        </w:rPr>
        <w:tab/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Se sídlem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IČ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DIČ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v likvidaci, jedná-li se o právnickou osobu;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proti firmě prohlášen konkurz, nebo konkurz nebyl zrušen pro nedostatek majetku v uplynulých třech letech;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nemá v evidenci daní zachyceny daňové nedoplatky;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nebyla pravomocně odsouzena pro trestný čin, jehož skutková podstata souvisí s předmětem podnikání, jde-li o fyzickou osobu; jde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BD2B5C">
        <w:rPr>
          <w:rFonts w:asciiTheme="minorHAnsi" w:hAnsiTheme="minorHAnsi" w:cstheme="minorHAnsi"/>
          <w:sz w:val="22"/>
          <w:szCs w:val="22"/>
        </w:rPr>
        <w:t>li o právnickou osobu, pak tuto podmínku splňuje statutární orgán nebo statutárním orgánem pověřený zástupce;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nemá nedoplatek na pojistném nebo na penále na veřejné zdravotní pojištění, nebo na pojistném a na penále na sociální zabezpečení a příspěvku na státní politiku zaměstnanosti, s výjimkou případů, kdy bylo povoleno splácení ve splátkách a není v prodlení se splátkami;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není vedena v rejstříku osob se zákazem plnění veřejných zakázek.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Osoba níže podepsaná prohlašuje, že je oprávněna učinit toto prohlášení a je si vědoma možných důsledků, zamlčí-li nějakou skutečnost nebo uvede-li nepravdivý údaj.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V ……………………………….. dne …………………………….</w:t>
      </w:r>
    </w:p>
    <w:p w:rsidR="00940A8A" w:rsidRPr="00BD2B5C" w:rsidRDefault="00940A8A" w:rsidP="00940A8A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:rsidR="00940A8A" w:rsidRPr="00BD2B5C" w:rsidRDefault="00940A8A" w:rsidP="00940A8A">
      <w:pPr>
        <w:spacing w:after="120"/>
        <w:ind w:left="3545" w:firstLine="709"/>
        <w:rPr>
          <w:rFonts w:asciiTheme="minorHAnsi" w:hAnsiTheme="minorHAnsi" w:cstheme="minorHAnsi"/>
          <w:sz w:val="22"/>
          <w:szCs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BD2B5C">
        <w:rPr>
          <w:rFonts w:asciiTheme="minorHAnsi" w:hAnsiTheme="minorHAnsi" w:cstheme="minorHAnsi"/>
          <w:sz w:val="22"/>
          <w:szCs w:val="22"/>
        </w:rPr>
        <w:t>………</w:t>
      </w:r>
    </w:p>
    <w:p w:rsidR="00806207" w:rsidRDefault="00940A8A" w:rsidP="00940A8A">
      <w:pPr>
        <w:spacing w:after="120"/>
        <w:ind w:left="3545" w:firstLine="709"/>
        <w:rPr>
          <w:rFonts w:asciiTheme="minorHAnsi" w:hAnsiTheme="minorHAnsi"/>
          <w:sz w:val="22"/>
        </w:rPr>
      </w:pPr>
      <w:r w:rsidRPr="00BD2B5C">
        <w:rPr>
          <w:rFonts w:asciiTheme="minorHAnsi" w:hAnsiTheme="minorHAnsi" w:cstheme="minorHAnsi"/>
          <w:sz w:val="22"/>
          <w:szCs w:val="22"/>
        </w:rPr>
        <w:t xml:space="preserve"> Jméno, příjmení a funkce (čitelně) – podpis  </w:t>
      </w:r>
    </w:p>
    <w:sectPr w:rsidR="00806207" w:rsidSect="00354AB2">
      <w:head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EEF" w:rsidRDefault="00E46EEF" w:rsidP="00A95149">
      <w:r>
        <w:separator/>
      </w:r>
    </w:p>
  </w:endnote>
  <w:endnote w:type="continuationSeparator" w:id="0">
    <w:p w:rsidR="00E46EEF" w:rsidRDefault="00E46EEF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EEF" w:rsidRDefault="00E46EEF" w:rsidP="00A95149">
      <w:r>
        <w:separator/>
      </w:r>
    </w:p>
  </w:footnote>
  <w:footnote w:type="continuationSeparator" w:id="0">
    <w:p w:rsidR="00E46EEF" w:rsidRDefault="00E46EEF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22"/>
        <w:szCs w:val="22"/>
      </w:rPr>
      <w:t>Obchodní akademie a Střední odborná škola cestovního ruchu Choceň</w:t>
    </w:r>
  </w:p>
  <w:p w:rsidR="00354AB2" w:rsidRDefault="00354AB2" w:rsidP="00354AB2">
    <w:pPr>
      <w:pStyle w:val="Zhlav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T. G. Masaryka 1000, 565 </w:t>
    </w:r>
    <w:r w:rsidR="00806207">
      <w:rPr>
        <w:rFonts w:asciiTheme="minorHAnsi" w:hAnsiTheme="minorHAnsi"/>
        <w:sz w:val="22"/>
        <w:szCs w:val="22"/>
      </w:rPr>
      <w:t>01</w:t>
    </w:r>
    <w:r>
      <w:rPr>
        <w:rFonts w:asciiTheme="minorHAnsi" w:hAnsiTheme="minorHAnsi"/>
        <w:sz w:val="22"/>
        <w:szCs w:val="22"/>
      </w:rP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239F"/>
    <w:multiLevelType w:val="hybridMultilevel"/>
    <w:tmpl w:val="52761256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F08C8"/>
    <w:multiLevelType w:val="hybridMultilevel"/>
    <w:tmpl w:val="4B36C420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26E09"/>
    <w:multiLevelType w:val="hybridMultilevel"/>
    <w:tmpl w:val="7396CDB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D04572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05731"/>
    <w:multiLevelType w:val="hybridMultilevel"/>
    <w:tmpl w:val="B50C2134"/>
    <w:lvl w:ilvl="0" w:tplc="8D0457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A8A"/>
    <w:rsid w:val="001973C7"/>
    <w:rsid w:val="001B61FE"/>
    <w:rsid w:val="001D60B5"/>
    <w:rsid w:val="001E69CF"/>
    <w:rsid w:val="00200DA1"/>
    <w:rsid w:val="00203581"/>
    <w:rsid w:val="003270EF"/>
    <w:rsid w:val="00354AB2"/>
    <w:rsid w:val="0041508C"/>
    <w:rsid w:val="00430D38"/>
    <w:rsid w:val="004E28D7"/>
    <w:rsid w:val="005875CF"/>
    <w:rsid w:val="0066234C"/>
    <w:rsid w:val="006A14ED"/>
    <w:rsid w:val="006D3CF0"/>
    <w:rsid w:val="006E5B76"/>
    <w:rsid w:val="006F2776"/>
    <w:rsid w:val="00757901"/>
    <w:rsid w:val="00806207"/>
    <w:rsid w:val="00940A8A"/>
    <w:rsid w:val="00993832"/>
    <w:rsid w:val="00A4102C"/>
    <w:rsid w:val="00A60AFC"/>
    <w:rsid w:val="00A95149"/>
    <w:rsid w:val="00AC1263"/>
    <w:rsid w:val="00AF2B8A"/>
    <w:rsid w:val="00BA6B7A"/>
    <w:rsid w:val="00D84FA3"/>
    <w:rsid w:val="00E46EEF"/>
    <w:rsid w:val="00E76D0C"/>
    <w:rsid w:val="00EA3477"/>
    <w:rsid w:val="00EB5CA5"/>
    <w:rsid w:val="00EF2637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23890"/>
  <w15:docId w15:val="{3468BD9D-AEA4-44C6-8FC9-43E818A3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0A8A"/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chocen@oa-chocen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ostal@oa-chocen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logo%20%20jen%201.stran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DB5B1-7B73-41E3-9F64-184A9771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logo  jen 1.strana</Template>
  <TotalTime>76</TotalTime>
  <Pages>6</Pages>
  <Words>1584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Jaroslav Studnička</cp:lastModifiedBy>
  <cp:revision>6</cp:revision>
  <dcterms:created xsi:type="dcterms:W3CDTF">2023-05-30T08:17:00Z</dcterms:created>
  <dcterms:modified xsi:type="dcterms:W3CDTF">2023-05-31T10:05:00Z</dcterms:modified>
</cp:coreProperties>
</file>